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1"/>
            <w:r>
              <w:rPr>
                <w:rFonts w:hint="default" w:ascii="Arial" w:hAnsi="Arial" w:eastAsia="sans-serif" w:cs="Arial"/>
                <w:i w:val="0"/>
                <w:iCs w:val="0"/>
                <w:color w:val="000000"/>
                <w:kern w:val="0"/>
                <w:sz w:val="16"/>
                <w:szCs w:val="16"/>
                <w:u w:val="none"/>
                <w:lang w:val="en-US" w:eastAsia="zh-CN" w:bidi="ar"/>
              </w:rPr>
              <w:t>Foundational understanding of Microsoft Azure services, including compute, storage, networking, and monitoring tools.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ARM templates and/or Bicep for infrastructure automation.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Familiarity with GIS platforms, such as Esri ArcGIS Enterprise, especially in cloud or hybrid deployments.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scripting or automation using PowerShell or Azure CLI.</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Knowledge of network and computer system security protocols. Experience in vulnerability mitigation and remediation. Knowledge of SAML 2.0 and OAuth 2</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Understanding of cloud architecture concepts such as resource groups, virtual networks, and subscription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Interest in learning Azure governance, security, and identity features (e.g., Azure AD, RBAC).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Understanding of relational databases, solid understanding and experience of UML modeling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communication, documentation, and collaboration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Ability to follow technical guidance and contribute in a team-oriented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bookmarkEnd w:id="0"/>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694B949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5F43AA"/>
    <w:rsid w:val="00671E1F"/>
    <w:rsid w:val="006E198E"/>
    <w:rsid w:val="00713A63"/>
    <w:rsid w:val="007468A7"/>
    <w:rsid w:val="0075290A"/>
    <w:rsid w:val="0077586D"/>
    <w:rsid w:val="007E0E0B"/>
    <w:rsid w:val="00847AD9"/>
    <w:rsid w:val="009130ED"/>
    <w:rsid w:val="00943B7B"/>
    <w:rsid w:val="009D63B2"/>
    <w:rsid w:val="00A602E5"/>
    <w:rsid w:val="00A653F6"/>
    <w:rsid w:val="00A775DE"/>
    <w:rsid w:val="00B22AC6"/>
    <w:rsid w:val="00BA0A70"/>
    <w:rsid w:val="00BE4768"/>
    <w:rsid w:val="00BE6081"/>
    <w:rsid w:val="00C30CBA"/>
    <w:rsid w:val="00C80BE7"/>
    <w:rsid w:val="00D05565"/>
    <w:rsid w:val="00D114C0"/>
    <w:rsid w:val="00D140D8"/>
    <w:rsid w:val="00D65BB4"/>
    <w:rsid w:val="00D90734"/>
    <w:rsid w:val="00DB731A"/>
    <w:rsid w:val="00E4596E"/>
    <w:rsid w:val="00EB2814"/>
    <w:rsid w:val="00ED0355"/>
    <w:rsid w:val="00EE47D2"/>
    <w:rsid w:val="00F40280"/>
    <w:rsid w:val="00F77207"/>
    <w:rsid w:val="2360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1071</Characters>
  <Lines>8</Lines>
  <Paragraphs>2</Paragraphs>
  <TotalTime>0</TotalTime>
  <ScaleCrop>false</ScaleCrop>
  <LinksUpToDate>false</LinksUpToDate>
  <CharactersWithSpaces>1256</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Lucas innoSoul</cp:lastModifiedBy>
  <dcterms:modified xsi:type="dcterms:W3CDTF">2025-05-08T13:12:47Z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BBB61B23F03B4E209723BC8E0968F231_13</vt:lpwstr>
  </property>
</Properties>
</file>