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35941">
      <w:pPr>
        <w:rPr>
          <w:rFonts w:hint="default"/>
          <w:b/>
          <w:bCs/>
        </w:rPr>
      </w:pPr>
      <w:r>
        <w:rPr>
          <w:rFonts w:hint="default"/>
          <w:b/>
          <w:bCs/>
        </w:rPr>
        <w:t>TRACEY LIVERMAN</w:t>
      </w:r>
    </w:p>
    <w:p w14:paraId="787EE78A">
      <w:pPr>
        <w:rPr>
          <w:rFonts w:hint="default"/>
          <w:b/>
          <w:bCs/>
        </w:rPr>
      </w:pPr>
      <w:r>
        <w:rPr>
          <w:rFonts w:hint="default"/>
          <w:b/>
          <w:bCs/>
        </w:rPr>
        <w:t>Nashville, TN,</w:t>
      </w:r>
    </w:p>
    <w:tbl>
      <w:tblPr>
        <w:tblStyle w:val="5"/>
        <w:tblW w:w="0" w:type="auto"/>
        <w:tblInd w:w="0" w:type="dxa"/>
        <w:tblBorders>
          <w:top w:val="single" w:color="009999" w:sz="8" w:space="0"/>
          <w:left w:val="single" w:color="009999" w:sz="8" w:space="0"/>
          <w:bottom w:val="single" w:color="009999" w:sz="8" w:space="0"/>
          <w:right w:val="single" w:color="009999" w:sz="8" w:space="0"/>
          <w:insideH w:val="single" w:color="009999" w:sz="8" w:space="0"/>
          <w:insideV w:val="single" w:color="009999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 w14:paraId="66F3E09E">
        <w:tblPrEx>
          <w:tblBorders>
            <w:top w:val="single" w:color="009999" w:sz="8" w:space="0"/>
            <w:left w:val="single" w:color="009999" w:sz="8" w:space="0"/>
            <w:bottom w:val="single" w:color="009999" w:sz="8" w:space="0"/>
            <w:right w:val="single" w:color="009999" w:sz="8" w:space="0"/>
            <w:insideH w:val="single" w:color="009999" w:sz="8" w:space="0"/>
            <w:insideV w:val="single" w:color="0099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340" w:type="dxa"/>
          </w:tcPr>
          <w:p w14:paraId="63C43F08">
            <w:pPr>
              <w:spacing w:before="120" w:after="120" w:line="240" w:lineRule="auto"/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  <w:t>Candidate Description</w:t>
            </w:r>
          </w:p>
          <w:p w14:paraId="65DC779E">
            <w:pPr>
              <w:spacing w:before="120" w:after="12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hint="default" w:ascii="Arial" w:hAnsi="Arial" w:eastAsiaTheme="minorEastAsia"/>
                <w:sz w:val="20"/>
                <w:szCs w:val="20"/>
              </w:rPr>
              <w:t>TOGAF-certified Technology &amp; Business Transformation Leader and PMP Candidate with over 15 years of experience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leading complex IT programs, digital transformation efforts, and regulatory compliance initiatives across both public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sector and Fortune 500 organizations. Proven track record managing full project lifecycles, vendor contracts, budgets,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and cross-functional teams to deliver strategic outcomes on time and within budget.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Demonstrated success supporting government operations, including Deloitte’s TennCare contract with the State of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Tennessee, where responsibilities included coordinating with state agencies, vendors, and IT stakeholders to drive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critical program milestones. Adept in Agile, Waterfall, and hybrid methodologies, with hands-on expertise in tools such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as JIRA, ADO, MS Project, Planview, Visio, and SharePoint.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Experienced in managing cloud migrations, AI/ML-driven solutions, enterprise data platforms, and performance reporting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dashboards. Skilled in contract lifecycle oversight, milestone invoice review, risk mitigation, and executive-level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reporting—ensuring transparency, fiscal accountability, and strategic alignment in all project phases.</w:t>
            </w:r>
          </w:p>
        </w:tc>
      </w:tr>
      <w:tr w14:paraId="2263E438">
        <w:tblPrEx>
          <w:tblBorders>
            <w:top w:val="single" w:color="009999" w:sz="8" w:space="0"/>
            <w:left w:val="single" w:color="009999" w:sz="8" w:space="0"/>
            <w:bottom w:val="single" w:color="009999" w:sz="8" w:space="0"/>
            <w:right w:val="single" w:color="009999" w:sz="8" w:space="0"/>
            <w:insideH w:val="single" w:color="009999" w:sz="8" w:space="0"/>
            <w:insideV w:val="single" w:color="0099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40" w:type="dxa"/>
          </w:tcPr>
          <w:p w14:paraId="4ED95EBC">
            <w:pPr>
              <w:spacing w:before="120" w:after="120" w:line="240" w:lineRule="auto"/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  <w:t>Technical Qualifications/Skills List</w:t>
            </w:r>
          </w:p>
          <w:p w14:paraId="535D609C">
            <w:pPr>
              <w:spacing w:before="120" w:after="12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Project &amp; Portfolio Management: Jira, Confluence, Agile/SAFe, Hybrid, Azure DevOps (ADO), ServiceNow PPM, Asana,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Microsoft Project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Cloud &amp; DevOps: Azure, AWS, GCP Console, Splunk, GitHub Actionst, Clarity PPM, Smartsheet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Data &amp; Analytics: Snowflake, Tableau, Power BI, Python, Qlik Sense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Risk &amp; Financial Management: SAP ERP, Oracle NetSuite, Workday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Collaboration &amp; Productivity: Microsoft Teams, SharePoint, Zoom, Slack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Enterprise Applications: Salesforce, ServiceNow, Workday</w:t>
            </w:r>
          </w:p>
        </w:tc>
      </w:tr>
      <w:tr w14:paraId="381EE096">
        <w:tblPrEx>
          <w:tblBorders>
            <w:top w:val="single" w:color="009999" w:sz="8" w:space="0"/>
            <w:left w:val="single" w:color="009999" w:sz="8" w:space="0"/>
            <w:bottom w:val="single" w:color="009999" w:sz="8" w:space="0"/>
            <w:right w:val="single" w:color="009999" w:sz="8" w:space="0"/>
            <w:insideH w:val="single" w:color="009999" w:sz="8" w:space="0"/>
            <w:insideV w:val="single" w:color="0099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40" w:type="dxa"/>
          </w:tcPr>
          <w:p w14:paraId="4FB1F858">
            <w:pPr>
              <w:spacing w:before="120" w:after="120" w:line="240" w:lineRule="auto"/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  <w:t>Business Qualifications/Skills List</w:t>
            </w:r>
          </w:p>
          <w:p w14:paraId="6DA717FD">
            <w:pPr>
              <w:spacing w:before="120" w:after="12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hint="default" w:ascii="Arial" w:hAnsi="Arial" w:eastAsiaTheme="minorEastAsia"/>
                <w:sz w:val="20"/>
                <w:szCs w:val="20"/>
              </w:rPr>
              <w:t>executive-level</w:t>
            </w:r>
            <w:r>
              <w:rPr>
                <w:rFonts w:hint="default" w:ascii="Arial" w:hAnsi="Arial" w:eastAsiaTheme="minor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Theme="minorEastAsia"/>
                <w:sz w:val="20"/>
                <w:szCs w:val="20"/>
              </w:rPr>
              <w:t>reporting—ensuring transparency, fiscal accountability, and strategic alignment in all project phases.</w:t>
            </w:r>
          </w:p>
        </w:tc>
      </w:tr>
      <w:tr w14:paraId="1FB8858C">
        <w:tblPrEx>
          <w:tblBorders>
            <w:top w:val="single" w:color="009999" w:sz="8" w:space="0"/>
            <w:left w:val="single" w:color="009999" w:sz="8" w:space="0"/>
            <w:bottom w:val="single" w:color="009999" w:sz="8" w:space="0"/>
            <w:right w:val="single" w:color="009999" w:sz="8" w:space="0"/>
            <w:insideH w:val="single" w:color="009999" w:sz="8" w:space="0"/>
            <w:insideV w:val="single" w:color="0099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340" w:type="dxa"/>
          </w:tcPr>
          <w:p w14:paraId="4E11533C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ascii="Arial" w:hAnsi="Arial" w:cs="Arial" w:eastAsiaTheme="minorEastAsia"/>
                <w:b/>
                <w:bCs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 w:eastAsiaTheme="minorEastAsia"/>
                <w:b/>
                <w:bCs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Employment History</w:t>
            </w:r>
          </w:p>
          <w:p w14:paraId="63F01BF9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3335E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default" w:ascii="Arial" w:hAnsi="Arial"/>
                <w:b/>
                <w:bCs/>
                <w:sz w:val="20"/>
                <w:szCs w:val="20"/>
              </w:rPr>
              <w:t xml:space="preserve">Project/Program Manager: Audit and Assurance Channel | Deloitte </w:t>
            </w:r>
            <w:r>
              <w:rPr>
                <w:rFonts w:hint="default" w:ascii="Arial" w:hAnsi="Arial"/>
                <w:b/>
                <w:bCs/>
                <w:sz w:val="20"/>
                <w:szCs w:val="20"/>
                <w:lang w:val="en-US"/>
              </w:rPr>
              <w:t>Mar</w:t>
            </w:r>
            <w:r>
              <w:rPr>
                <w:rFonts w:hint="default" w:ascii="Arial" w:hAnsi="Arial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hint="default" w:ascii="Arial" w:hAnsi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hint="default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Arial" w:hAnsi="Arial"/>
                <w:b/>
                <w:bCs/>
                <w:sz w:val="20"/>
                <w:szCs w:val="20"/>
                <w:lang w:val="en-US"/>
              </w:rPr>
              <w:t>till</w:t>
            </w:r>
            <w:bookmarkStart w:id="0" w:name="_GoBack"/>
            <w:bookmarkEnd w:id="0"/>
            <w:r>
              <w:rPr>
                <w:rFonts w:hint="default" w:ascii="Arial" w:hAnsi="Arial"/>
                <w:b/>
                <w:bCs/>
                <w:sz w:val="20"/>
                <w:szCs w:val="20"/>
                <w:lang w:val="en-US"/>
              </w:rPr>
              <w:t xml:space="preserve"> Present</w:t>
            </w:r>
          </w:p>
          <w:p w14:paraId="22A8E212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</w:rPr>
              <w:t>• Led multiple concurrent IT projects supporting Deloitte’s Omnia financial compliance platform, collaborating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with legal, audit, and IT teams to meet regulatory mandates and government standards.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Directed a cross-functional team of 20+ onshore and offshore resources using Agile/Waterfall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methodologies, ensuring alignment across stakeholders, timely delivery, and strategic risk mitigation.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Oversaw end-to-end program delivery including cloud migrations, AI/ML integrations, and financial data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transformation initiatives, maintaining strict adherence to timelines, budgets, and compliance frameworks.Coordinated procurement activities and vendor resource planning, working with stakeholders to secure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project contracts, review deliverables, and support milestone-based invoice approvals.</w:t>
            </w:r>
          </w:p>
          <w:p w14:paraId="6152011D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/>
                <w:b/>
                <w:bCs/>
                <w:sz w:val="20"/>
                <w:szCs w:val="20"/>
              </w:rPr>
              <w:t>Project/Program Manager: Advisory Channel | Deloitte Dec 2020- Feb 2022</w:t>
            </w:r>
          </w:p>
          <w:p w14:paraId="3BF96CD5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</w:rPr>
              <w:t>• Managed projects within Deloitte’s Acceptance Portal (DAP), an enterprise compliance solution used to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evaluate legal, financial, and regulatory risks prior to engagement approval.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Developed and maintained master project schedules in alignment with financial risk management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objectives, streamlining approval workflows and mitigating compliance risks.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Oversaw program performance and adherence to fiscal controls, driving informed resource allocation and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executive decision-making at key project milestones.Tracked and reported on critical financial and risk KPIs, ensuring project delivery aligned with governance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frameworks and internal audit standards.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Delivered risk and compliance dashboards, milestone reports, and executive summaries to sponsors and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stakeholders, providing full transparency into status, budget implications, and risk exposure.Created, reviewed, and managed Statements of Work (SOWs) in coordination with vendors and procurement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teams, defining scope, deliverables, and payment terms to ensure alignment with compliance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and financial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policies.</w:t>
            </w:r>
          </w:p>
          <w:p w14:paraId="612FD996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/>
                <w:b/>
                <w:bCs/>
                <w:sz w:val="20"/>
                <w:szCs w:val="20"/>
              </w:rPr>
              <w:t>BI Project Manager| Cardinal Health J</w:t>
            </w:r>
            <w:r>
              <w:rPr>
                <w:rFonts w:hint="default" w:ascii="Arial" w:hAnsi="Arial"/>
                <w:b/>
                <w:bCs/>
                <w:sz w:val="20"/>
                <w:szCs w:val="20"/>
                <w:lang w:val="en-US"/>
              </w:rPr>
              <w:t>une2015</w:t>
            </w:r>
            <w:r>
              <w:rPr>
                <w:rFonts w:hint="default" w:ascii="Arial" w:hAnsi="Arial"/>
                <w:b/>
                <w:bCs/>
                <w:sz w:val="20"/>
                <w:szCs w:val="20"/>
              </w:rPr>
              <w:t xml:space="preserve"> - Dec 2020</w:t>
            </w:r>
          </w:p>
          <w:p w14:paraId="29F75E11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</w:rPr>
              <w:t>• Managed the end-to-end implementation of Snowflake and Tableau to support enterprise data analytics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initiatives, including state and federal reporting for opioid distribution monitoring and compliance.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Oversaw scope, timelines, and cross-functional collaboration across IT, legal, compliance, and analytics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teams to deliver scalable data visualization solutions that enhanced regulatory and business intelligence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capabilities.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Developed and maintained project roadmaps aligned with opioid mitigation objectives, business priorities,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and evolving regulatory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requirements.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Facilitated cross-functional coordination to translate complex business needs—particularly around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controlled substance tracking—into actionable technical requirements, user stories, and project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documentation.Technical Project Manager | CHS Feb 2015- June 2018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Spearheaded enterprise architecture initiatives across 175+ facilities, optimizing the procurement and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implementation of clinical solutions.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Led a team of five architects in designing and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implementing scalable enterprise architecture solutions to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enhance business efficiency and technology alignment.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Developed enterprise architecture governance models and championed digitization, improving operational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efficiency by 25%.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Managed vendor relationships, including RFP/RFI processes, ensuring alignment with project requirements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and organizational goals.</w:t>
            </w:r>
          </w:p>
          <w:p w14:paraId="368C2069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sz w:val="20"/>
                <w:szCs w:val="20"/>
              </w:rPr>
            </w:pPr>
            <w:r>
              <w:rPr>
                <w:rFonts w:hint="default" w:ascii="Arial" w:hAnsi="Arial"/>
                <w:b/>
                <w:bCs/>
                <w:sz w:val="20"/>
                <w:szCs w:val="20"/>
              </w:rPr>
              <w:t>Technical Business Analyst | HCA Jan 2008 - June 2015</w:t>
            </w:r>
          </w:p>
          <w:p w14:paraId="352BF0E0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</w:rPr>
              <w:t>• Led the development of HL7 interfaces, enhancing data integration across enterprise systems.</w:t>
            </w:r>
          </w:p>
          <w:p w14:paraId="253537BF">
            <w:pPr>
              <w:pStyle w:val="10"/>
              <w:tabs>
                <w:tab w:val="left" w:pos="5040"/>
              </w:tabs>
              <w:spacing w:after="140" w:line="240" w:lineRule="auto"/>
              <w:ind w:left="0" w:right="547"/>
              <w:rPr>
                <w:rFonts w:hint="default" w:ascii="Arial" w:hAnsi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</w:rPr>
              <w:t>• Developed capability maps, value streams, and roadmaps, improving integration processes by 20%.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 xml:space="preserve"> Managed vendor relationships to ensure timely delivery of high-quality integration components.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Drove the implementation of interoperability solutions, ensuring seamless data exchange between EHR,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billing, and ancillary systems to enhance patient care and operational efficiency.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Facilitated cross-functional collaboration between clinical, IT, and business teams to define requirements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and optimize HL7 interface performance, reducing data processing errors by 30%.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Led Agile transformation efforts, introducing backlog grooming, sprint planning, and user story refinement</w:t>
            </w:r>
            <w:r>
              <w:rPr>
                <w:rFonts w:hint="default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/>
                <w:sz w:val="20"/>
                <w:szCs w:val="20"/>
              </w:rPr>
              <w:t>to accelerate development cycles and improve stakeholder engagement.</w:t>
            </w:r>
          </w:p>
        </w:tc>
      </w:tr>
      <w:tr w14:paraId="1FA876B8">
        <w:tblPrEx>
          <w:tblBorders>
            <w:top w:val="single" w:color="009999" w:sz="8" w:space="0"/>
            <w:left w:val="single" w:color="009999" w:sz="8" w:space="0"/>
            <w:bottom w:val="single" w:color="009999" w:sz="8" w:space="0"/>
            <w:right w:val="single" w:color="009999" w:sz="8" w:space="0"/>
            <w:insideH w:val="single" w:color="009999" w:sz="8" w:space="0"/>
            <w:insideV w:val="single" w:color="0099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340" w:type="dxa"/>
          </w:tcPr>
          <w:p w14:paraId="51441C42">
            <w:pPr>
              <w:spacing w:before="120" w:after="120" w:line="240" w:lineRule="auto"/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  <w:t>Education and Certifications</w:t>
            </w:r>
          </w:p>
          <w:p w14:paraId="4F34DB91">
            <w:pPr>
              <w:spacing w:before="120" w:after="120" w:line="240" w:lineRule="auto"/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  <w:br w:type="textWrapping"/>
            </w: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Bachelor’s degree – Computer Information Systems | Middle Tennessee State UniversityProject Management Professional (PMP) – In Progress, Expected April 2025</w:t>
            </w:r>
          </w:p>
          <w:p w14:paraId="77F7013F">
            <w:pPr>
              <w:spacing w:before="120" w:after="120" w:line="240" w:lineRule="auto"/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TOGAF Certification | The Open Group</w:t>
            </w:r>
          </w:p>
          <w:p w14:paraId="79812925">
            <w:pPr>
              <w:spacing w:before="120" w:after="120" w:line="240" w:lineRule="auto"/>
              <w:rPr>
                <w:rFonts w:ascii="Arial" w:hAnsi="Arial" w:cs="Arial" w:eastAsiaTheme="minorEastAsia"/>
                <w:b w:val="0"/>
                <w:bCs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Theme="minorEastAsia"/>
                <w:b w:val="0"/>
                <w:bCs w:val="0"/>
                <w:sz w:val="20"/>
                <w:szCs w:val="20"/>
                <w:u w:val="none"/>
              </w:rPr>
              <w:t>Microsoft Certified: Azure | Microsoft</w:t>
            </w:r>
          </w:p>
          <w:p w14:paraId="4B94D5A5">
            <w:pPr>
              <w:spacing w:before="120" w:after="12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</w:p>
        </w:tc>
      </w:tr>
      <w:tr w14:paraId="3DEEC669">
        <w:tblPrEx>
          <w:tblBorders>
            <w:top w:val="single" w:color="009999" w:sz="8" w:space="0"/>
            <w:left w:val="single" w:color="009999" w:sz="8" w:space="0"/>
            <w:bottom w:val="single" w:color="009999" w:sz="8" w:space="0"/>
            <w:right w:val="single" w:color="009999" w:sz="8" w:space="0"/>
            <w:insideH w:val="single" w:color="009999" w:sz="8" w:space="0"/>
            <w:insideV w:val="single" w:color="0099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340" w:type="dxa"/>
          </w:tcPr>
          <w:p w14:paraId="05452931">
            <w:pPr>
              <w:spacing w:after="0" w:line="240" w:lineRule="auto"/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 w:eastAsiaTheme="minorEastAsia"/>
                <w:b/>
                <w:bCs/>
                <w:sz w:val="20"/>
                <w:szCs w:val="20"/>
                <w:u w:val="single"/>
              </w:rPr>
              <w:t>Others</w:t>
            </w:r>
          </w:p>
          <w:p w14:paraId="3656B9AB">
            <w:p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</w:p>
        </w:tc>
      </w:tr>
    </w:tbl>
    <w:p w14:paraId="3AB2B331">
      <w:pPr>
        <w:rPr>
          <w:rFonts w:asciiTheme="minorHAnsi" w:hAnsiTheme="minorHAnsi" w:eastAsiaTheme="minorEastAsia" w:cstheme="minorBidi"/>
          <w:sz w:val="20"/>
          <w:szCs w:val="20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DBA66">
    <w:pPr>
      <w:pStyle w:val="8"/>
    </w:pPr>
  </w:p>
  <w:p w14:paraId="18DE779E">
    <w:pPr>
      <w:pStyle w:val="8"/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06AD9"/>
    <w:multiLevelType w:val="multilevel"/>
    <w:tmpl w:val="76C06AD9"/>
    <w:lvl w:ilvl="0" w:tentative="0">
      <w:start w:val="1"/>
      <w:numFmt w:val="bullet"/>
      <w:pStyle w:val="18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NjQ1NzAyNzQzNjBV0lEKTi0uzszPAykwrAUAarKscCwAAAA="/>
  </w:docVars>
  <w:rsids>
    <w:rsidRoot w:val="00EF4E9F"/>
    <w:rsid w:val="00020B56"/>
    <w:rsid w:val="00030B8F"/>
    <w:rsid w:val="00035E6A"/>
    <w:rsid w:val="0004019F"/>
    <w:rsid w:val="00067294"/>
    <w:rsid w:val="00070BA8"/>
    <w:rsid w:val="00087D76"/>
    <w:rsid w:val="000A1F52"/>
    <w:rsid w:val="000A30A1"/>
    <w:rsid w:val="000D2ABA"/>
    <w:rsid w:val="00111D80"/>
    <w:rsid w:val="001178CF"/>
    <w:rsid w:val="00132483"/>
    <w:rsid w:val="001465EC"/>
    <w:rsid w:val="00174864"/>
    <w:rsid w:val="001A2FED"/>
    <w:rsid w:val="001B1BC9"/>
    <w:rsid w:val="001C084C"/>
    <w:rsid w:val="001D030F"/>
    <w:rsid w:val="001E1F7D"/>
    <w:rsid w:val="001F306B"/>
    <w:rsid w:val="001F720F"/>
    <w:rsid w:val="0020132F"/>
    <w:rsid w:val="002043CF"/>
    <w:rsid w:val="00207054"/>
    <w:rsid w:val="00214FEA"/>
    <w:rsid w:val="002277E2"/>
    <w:rsid w:val="002478CD"/>
    <w:rsid w:val="0025012D"/>
    <w:rsid w:val="00253E81"/>
    <w:rsid w:val="00271E0F"/>
    <w:rsid w:val="00273280"/>
    <w:rsid w:val="00290D85"/>
    <w:rsid w:val="002A2491"/>
    <w:rsid w:val="002D23E9"/>
    <w:rsid w:val="002D4BD9"/>
    <w:rsid w:val="002F6614"/>
    <w:rsid w:val="00310FC3"/>
    <w:rsid w:val="00323E77"/>
    <w:rsid w:val="00325372"/>
    <w:rsid w:val="00326B26"/>
    <w:rsid w:val="00344247"/>
    <w:rsid w:val="00361211"/>
    <w:rsid w:val="00362249"/>
    <w:rsid w:val="003900E7"/>
    <w:rsid w:val="00393961"/>
    <w:rsid w:val="00397CA4"/>
    <w:rsid w:val="003A0266"/>
    <w:rsid w:val="003B1F52"/>
    <w:rsid w:val="003C1468"/>
    <w:rsid w:val="003D33B8"/>
    <w:rsid w:val="003D499E"/>
    <w:rsid w:val="003E0E3F"/>
    <w:rsid w:val="003E1E3D"/>
    <w:rsid w:val="003E6742"/>
    <w:rsid w:val="003F09AD"/>
    <w:rsid w:val="003F2F18"/>
    <w:rsid w:val="00411857"/>
    <w:rsid w:val="00413314"/>
    <w:rsid w:val="00415735"/>
    <w:rsid w:val="00417B38"/>
    <w:rsid w:val="00432874"/>
    <w:rsid w:val="004528AF"/>
    <w:rsid w:val="0047178B"/>
    <w:rsid w:val="004A1ED7"/>
    <w:rsid w:val="004D3FD0"/>
    <w:rsid w:val="004D4DC6"/>
    <w:rsid w:val="004E74C2"/>
    <w:rsid w:val="004F5FB2"/>
    <w:rsid w:val="00507EEC"/>
    <w:rsid w:val="00510C92"/>
    <w:rsid w:val="0051170D"/>
    <w:rsid w:val="00521D5B"/>
    <w:rsid w:val="00537890"/>
    <w:rsid w:val="005528A3"/>
    <w:rsid w:val="005717D1"/>
    <w:rsid w:val="00581EF1"/>
    <w:rsid w:val="00594637"/>
    <w:rsid w:val="005B06BB"/>
    <w:rsid w:val="005B7631"/>
    <w:rsid w:val="005D4F86"/>
    <w:rsid w:val="005E7285"/>
    <w:rsid w:val="005F14F4"/>
    <w:rsid w:val="005F620E"/>
    <w:rsid w:val="00622C47"/>
    <w:rsid w:val="00625201"/>
    <w:rsid w:val="006259DC"/>
    <w:rsid w:val="00625A0A"/>
    <w:rsid w:val="00631D98"/>
    <w:rsid w:val="006448D8"/>
    <w:rsid w:val="00645A76"/>
    <w:rsid w:val="00651F17"/>
    <w:rsid w:val="00656D8C"/>
    <w:rsid w:val="006612EB"/>
    <w:rsid w:val="0066279F"/>
    <w:rsid w:val="006641C3"/>
    <w:rsid w:val="00670630"/>
    <w:rsid w:val="00676E1D"/>
    <w:rsid w:val="0069461F"/>
    <w:rsid w:val="006B1229"/>
    <w:rsid w:val="006B3E95"/>
    <w:rsid w:val="006D06A3"/>
    <w:rsid w:val="006D78C8"/>
    <w:rsid w:val="006E7E63"/>
    <w:rsid w:val="006F0B0C"/>
    <w:rsid w:val="006F25EC"/>
    <w:rsid w:val="00700165"/>
    <w:rsid w:val="00705670"/>
    <w:rsid w:val="00707556"/>
    <w:rsid w:val="007553FE"/>
    <w:rsid w:val="00760EAF"/>
    <w:rsid w:val="0079418A"/>
    <w:rsid w:val="00794F25"/>
    <w:rsid w:val="007B0829"/>
    <w:rsid w:val="007B2919"/>
    <w:rsid w:val="007B5EFF"/>
    <w:rsid w:val="007D3A00"/>
    <w:rsid w:val="007E40E4"/>
    <w:rsid w:val="00803E12"/>
    <w:rsid w:val="008253AB"/>
    <w:rsid w:val="00826DD6"/>
    <w:rsid w:val="00830286"/>
    <w:rsid w:val="00872921"/>
    <w:rsid w:val="00893444"/>
    <w:rsid w:val="008A21BC"/>
    <w:rsid w:val="008C1986"/>
    <w:rsid w:val="008C1C44"/>
    <w:rsid w:val="008E1073"/>
    <w:rsid w:val="008E1F2D"/>
    <w:rsid w:val="008E527C"/>
    <w:rsid w:val="008E78D6"/>
    <w:rsid w:val="008F407F"/>
    <w:rsid w:val="00917129"/>
    <w:rsid w:val="0091784F"/>
    <w:rsid w:val="00917FB2"/>
    <w:rsid w:val="0092025D"/>
    <w:rsid w:val="00920F7D"/>
    <w:rsid w:val="00935009"/>
    <w:rsid w:val="009367DC"/>
    <w:rsid w:val="00950D4E"/>
    <w:rsid w:val="00952040"/>
    <w:rsid w:val="00972686"/>
    <w:rsid w:val="00973C52"/>
    <w:rsid w:val="00977B5B"/>
    <w:rsid w:val="00992A57"/>
    <w:rsid w:val="00997BE4"/>
    <w:rsid w:val="009B1F9C"/>
    <w:rsid w:val="00A10B8E"/>
    <w:rsid w:val="00A21FE1"/>
    <w:rsid w:val="00A40ADA"/>
    <w:rsid w:val="00A449BE"/>
    <w:rsid w:val="00A716EF"/>
    <w:rsid w:val="00A94243"/>
    <w:rsid w:val="00AA74A6"/>
    <w:rsid w:val="00AB626E"/>
    <w:rsid w:val="00AD0941"/>
    <w:rsid w:val="00AD146D"/>
    <w:rsid w:val="00AD2D0C"/>
    <w:rsid w:val="00AD316A"/>
    <w:rsid w:val="00AD44A1"/>
    <w:rsid w:val="00AE6097"/>
    <w:rsid w:val="00B16080"/>
    <w:rsid w:val="00B23710"/>
    <w:rsid w:val="00B23F51"/>
    <w:rsid w:val="00B41088"/>
    <w:rsid w:val="00B46236"/>
    <w:rsid w:val="00B54430"/>
    <w:rsid w:val="00B559CE"/>
    <w:rsid w:val="00B74869"/>
    <w:rsid w:val="00B75462"/>
    <w:rsid w:val="00B81411"/>
    <w:rsid w:val="00B83DDD"/>
    <w:rsid w:val="00B935F3"/>
    <w:rsid w:val="00BA6311"/>
    <w:rsid w:val="00BD4249"/>
    <w:rsid w:val="00BE1D08"/>
    <w:rsid w:val="00BF0E3D"/>
    <w:rsid w:val="00C030EF"/>
    <w:rsid w:val="00C15406"/>
    <w:rsid w:val="00C30524"/>
    <w:rsid w:val="00C31816"/>
    <w:rsid w:val="00C43B13"/>
    <w:rsid w:val="00C53725"/>
    <w:rsid w:val="00C81AC3"/>
    <w:rsid w:val="00C937FB"/>
    <w:rsid w:val="00CA066A"/>
    <w:rsid w:val="00CA7668"/>
    <w:rsid w:val="00CB03DA"/>
    <w:rsid w:val="00CC38AB"/>
    <w:rsid w:val="00CD4DEF"/>
    <w:rsid w:val="00CD7259"/>
    <w:rsid w:val="00CE6CFF"/>
    <w:rsid w:val="00CF4737"/>
    <w:rsid w:val="00CF56CF"/>
    <w:rsid w:val="00D21341"/>
    <w:rsid w:val="00D23D3E"/>
    <w:rsid w:val="00D25A0D"/>
    <w:rsid w:val="00D45BD0"/>
    <w:rsid w:val="00D51113"/>
    <w:rsid w:val="00D66756"/>
    <w:rsid w:val="00D82C83"/>
    <w:rsid w:val="00DB23B6"/>
    <w:rsid w:val="00DD0CB9"/>
    <w:rsid w:val="00DF2CB0"/>
    <w:rsid w:val="00E146CB"/>
    <w:rsid w:val="00E147A5"/>
    <w:rsid w:val="00E16213"/>
    <w:rsid w:val="00E25986"/>
    <w:rsid w:val="00E27C81"/>
    <w:rsid w:val="00E54B24"/>
    <w:rsid w:val="00E80BA2"/>
    <w:rsid w:val="00E85F1A"/>
    <w:rsid w:val="00E90192"/>
    <w:rsid w:val="00E926FF"/>
    <w:rsid w:val="00E9714B"/>
    <w:rsid w:val="00EC6A00"/>
    <w:rsid w:val="00EE7180"/>
    <w:rsid w:val="00EE7F71"/>
    <w:rsid w:val="00EF4E9F"/>
    <w:rsid w:val="00F01762"/>
    <w:rsid w:val="00F97B05"/>
    <w:rsid w:val="00FB4E65"/>
    <w:rsid w:val="00FC09F3"/>
    <w:rsid w:val="00FD7BC8"/>
    <w:rsid w:val="00FE6D5F"/>
    <w:rsid w:val="0E2B182C"/>
    <w:rsid w:val="721F4199"/>
    <w:rsid w:val="7F6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3"/>
    <w:link w:val="17"/>
    <w:qFormat/>
    <w:uiPriority w:val="0"/>
    <w:pPr>
      <w:spacing w:after="60" w:line="220" w:lineRule="atLeast"/>
      <w:outlineLvl w:val="1"/>
    </w:pPr>
    <w:rPr>
      <w:rFonts w:ascii="Tahoma" w:hAnsi="Tahoma"/>
      <w:b/>
      <w:spacing w:val="10"/>
      <w:sz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iPriority w:val="0"/>
    <w:pPr>
      <w:tabs>
        <w:tab w:val="left" w:pos="2160"/>
        <w:tab w:val="right" w:pos="6480"/>
      </w:tabs>
      <w:spacing w:before="240" w:after="60" w:line="220" w:lineRule="atLeast"/>
      <w:jc w:val="center"/>
    </w:pPr>
    <w:rPr>
      <w:rFonts w:ascii="Times New Roman" w:hAnsi="Times New Roman"/>
    </w:rPr>
  </w:style>
  <w:style w:type="paragraph" w:styleId="6">
    <w:name w:val="Body Text 3"/>
    <w:basedOn w:val="3"/>
    <w:link w:val="16"/>
    <w:uiPriority w:val="0"/>
    <w:pPr>
      <w:spacing w:after="120"/>
      <w:jc w:val="right"/>
    </w:pPr>
    <w:rPr>
      <w:szCs w:val="16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9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lorful List - Accent 11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Colorful List - Accent 1 Char"/>
    <w:basedOn w:val="4"/>
    <w:link w:val="10"/>
    <w:qFormat/>
    <w:uiPriority w:val="34"/>
  </w:style>
  <w:style w:type="paragraph" w:customStyle="1" w:styleId="12">
    <w:name w:val="Name"/>
    <w:basedOn w:val="1"/>
    <w:link w:val="13"/>
    <w:qFormat/>
    <w:uiPriority w:val="0"/>
    <w:pPr>
      <w:spacing w:before="240" w:after="240" w:line="240" w:lineRule="auto"/>
      <w:ind w:left="403"/>
    </w:pPr>
    <w:rPr>
      <w:rFonts w:ascii="Garamond" w:hAnsi="Garamond"/>
      <w:b/>
      <w:spacing w:val="10"/>
      <w:sz w:val="48"/>
      <w:szCs w:val="20"/>
    </w:rPr>
  </w:style>
  <w:style w:type="character" w:customStyle="1" w:styleId="13">
    <w:name w:val="Name Char"/>
    <w:link w:val="12"/>
    <w:uiPriority w:val="0"/>
    <w:rPr>
      <w:rFonts w:ascii="Garamond" w:hAnsi="Garamond" w:eastAsia="Times New Roman" w:cs="Times New Roman"/>
      <w:b/>
      <w:spacing w:val="10"/>
      <w:sz w:val="48"/>
      <w:szCs w:val="20"/>
    </w:rPr>
  </w:style>
  <w:style w:type="character" w:customStyle="1" w:styleId="14">
    <w:name w:val="Body Text Char"/>
    <w:link w:val="3"/>
    <w:qFormat/>
    <w:uiPriority w:val="0"/>
    <w:rPr>
      <w:rFonts w:ascii="Times New Roman" w:hAnsi="Times New Roman" w:eastAsia="Times New Roman" w:cs="Times New Roman"/>
    </w:rPr>
  </w:style>
  <w:style w:type="paragraph" w:customStyle="1" w:styleId="15">
    <w:name w:val="Body Text 1"/>
    <w:basedOn w:val="1"/>
    <w:qFormat/>
    <w:uiPriority w:val="0"/>
    <w:pPr>
      <w:tabs>
        <w:tab w:val="left" w:pos="2160"/>
        <w:tab w:val="right" w:pos="6480"/>
      </w:tabs>
      <w:spacing w:before="240" w:after="40" w:line="220" w:lineRule="atLeast"/>
    </w:pPr>
    <w:rPr>
      <w:rFonts w:ascii="Times New Roman" w:hAnsi="Times New Roman"/>
      <w:szCs w:val="20"/>
    </w:rPr>
  </w:style>
  <w:style w:type="character" w:customStyle="1" w:styleId="16">
    <w:name w:val="Body Text 3 Char"/>
    <w:link w:val="6"/>
    <w:qFormat/>
    <w:uiPriority w:val="0"/>
    <w:rPr>
      <w:rFonts w:ascii="Times New Roman" w:hAnsi="Times New Roman" w:eastAsia="Times New Roman" w:cs="Times New Roman"/>
      <w:szCs w:val="16"/>
    </w:rPr>
  </w:style>
  <w:style w:type="character" w:customStyle="1" w:styleId="17">
    <w:name w:val="Heading 2 Char"/>
    <w:link w:val="2"/>
    <w:qFormat/>
    <w:uiPriority w:val="0"/>
    <w:rPr>
      <w:rFonts w:ascii="Tahoma" w:hAnsi="Tahoma" w:eastAsia="Times New Roman" w:cs="Times New Roman"/>
      <w:b/>
      <w:spacing w:val="10"/>
      <w:sz w:val="20"/>
    </w:rPr>
  </w:style>
  <w:style w:type="paragraph" w:customStyle="1" w:styleId="18">
    <w:name w:val="Bulleted List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Times New Roman" w:cs="Times New Roman"/>
      <w:spacing w:val="-5"/>
      <w:sz w:val="22"/>
      <w:lang w:val="en-US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Header Char"/>
    <w:basedOn w:val="4"/>
    <w:link w:val="8"/>
    <w:uiPriority w:val="99"/>
    <w:rPr>
      <w:sz w:val="22"/>
      <w:szCs w:val="22"/>
      <w:lang w:eastAsia="en-US"/>
    </w:rPr>
  </w:style>
  <w:style w:type="character" w:customStyle="1" w:styleId="21">
    <w:name w:val="Footer Char"/>
    <w:basedOn w:val="4"/>
    <w:link w:val="7"/>
    <w:uiPriority w:val="99"/>
    <w:rPr>
      <w:sz w:val="22"/>
      <w:szCs w:val="22"/>
      <w:lang w:eastAsia="en-US"/>
    </w:rPr>
  </w:style>
  <w:style w:type="character" w:customStyle="1" w:styleId="22">
    <w:name w:val="il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1E75-048B-4960-8854-3847B782C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140</Characters>
  <Lines>1</Lines>
  <Paragraphs>1</Paragraphs>
  <TotalTime>44</TotalTime>
  <ScaleCrop>false</ScaleCrop>
  <LinksUpToDate>false</LinksUpToDate>
  <CharactersWithSpaces>163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2023-09-23T00:54:00Z</dcterms:created>
  <dc:creator>Conference</dc:creator>
  <cp:lastModifiedBy>Emily innoSoul</cp:lastModifiedBy>
  <dcterms:modified xsi:type="dcterms:W3CDTF">2025-03-28T21:14:24Z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E300C7E28A644AF3A7810959DA4174B8_13</vt:lpwstr>
  </property>
</Properties>
</file>